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SMS CHROBRY GŁOGÓW – BUCZ 22-29.07.2023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</w:t>
      </w:r>
      <w:r>
        <w:rPr>
          <w:sz w:val="20"/>
        </w:rPr>
        <w:t>, wyjazdów na mecze sparingowe i wyjazdów nad jezioro</w:t>
      </w:r>
      <w:r>
        <w:rPr>
          <w:sz w:val="20"/>
        </w:rPr>
        <w:t>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stosowania się do poleceń opiekunów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bezpieczeństwa podc</w:t>
      </w:r>
      <w:r>
        <w:rPr>
          <w:sz w:val="20"/>
        </w:rPr>
        <w:t>zas zajęć nad jeziorem</w:t>
      </w:r>
      <w:bookmarkStart w:id="0" w:name="_GoBack"/>
      <w:bookmarkEnd w:id="0"/>
      <w:r>
        <w:rPr>
          <w:sz w:val="20"/>
        </w:rPr>
        <w:t xml:space="preserve">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</w:t>
      </w:r>
      <w:r>
        <w:rPr>
          <w:sz w:val="20"/>
        </w:rPr>
        <w:t xml:space="preserve">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A6750"/>
    <w:rsid w:val="002F5253"/>
    <w:rsid w:val="00366C7F"/>
    <w:rsid w:val="00410124"/>
    <w:rsid w:val="004136EC"/>
    <w:rsid w:val="004942EA"/>
    <w:rsid w:val="00820357"/>
    <w:rsid w:val="009C3AAC"/>
    <w:rsid w:val="00AF5E18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Konto Microsoft</cp:lastModifiedBy>
  <cp:revision>3</cp:revision>
  <dcterms:created xsi:type="dcterms:W3CDTF">2023-05-31T13:09:00Z</dcterms:created>
  <dcterms:modified xsi:type="dcterms:W3CDTF">2023-05-31T13:17:00Z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